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F44C2" w14:textId="77777777" w:rsidR="00D056EC" w:rsidRPr="008F2872" w:rsidRDefault="00F50683" w:rsidP="00D056EC">
      <w:pPr>
        <w:pStyle w:val="Heading3"/>
        <w:rPr>
          <w:rFonts w:ascii="Sylfaen" w:hAnsi="Sylfaen"/>
          <w:sz w:val="20"/>
        </w:rPr>
      </w:pPr>
      <w:bookmarkStart w:id="0" w:name="_Toc340548656"/>
      <w:bookmarkStart w:id="1" w:name="_Toc340549515"/>
      <w:r w:rsidRPr="008F2872">
        <w:rPr>
          <w:rFonts w:ascii="Sylfaen" w:hAnsi="Sylfaen"/>
          <w:noProof/>
          <w:sz w:val="20"/>
        </w:rPr>
        <w:drawing>
          <wp:inline distT="0" distB="0" distL="0" distR="0" wp14:anchorId="4C80F071" wp14:editId="0994F6F2">
            <wp:extent cx="898525" cy="600075"/>
            <wp:effectExtent l="0" t="0" r="0" b="9525"/>
            <wp:docPr id="1" name="Picture 13" descr="Description: C:\Documents and Settings\kpl16888\My Documents\LOGO\Jpeg\Flat_3-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scription: C:\Documents and Settings\kpl16888\My Documents\LOGO\Jpeg\Flat_3-Colou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48" t="6471" r="10280" b="6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433" cy="61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D9706" w14:textId="77777777" w:rsidR="00D056EC" w:rsidRPr="008F2872" w:rsidRDefault="00D056EC" w:rsidP="008D54FD">
      <w:pPr>
        <w:pBdr>
          <w:bottom w:val="single" w:sz="18" w:space="0" w:color="0000FF"/>
        </w:pBdr>
        <w:spacing w:before="120" w:after="120"/>
        <w:rPr>
          <w:rFonts w:ascii="Sylfaen" w:hAnsi="Sylfaen"/>
          <w:sz w:val="20"/>
          <w:szCs w:val="20"/>
        </w:rPr>
      </w:pPr>
    </w:p>
    <w:p w14:paraId="7117A522" w14:textId="77777777" w:rsidR="00D056EC" w:rsidRPr="002F11C2" w:rsidRDefault="00D056EC" w:rsidP="008D54FD">
      <w:pPr>
        <w:spacing w:before="120" w:after="120"/>
        <w:jc w:val="center"/>
        <w:rPr>
          <w:rFonts w:ascii="Century Gothic" w:hAnsi="Century Gothic"/>
          <w:sz w:val="18"/>
          <w:szCs w:val="18"/>
        </w:rPr>
      </w:pPr>
      <w:r w:rsidRPr="002F11C2">
        <w:rPr>
          <w:rFonts w:ascii="Century Gothic" w:hAnsi="Century Gothic"/>
          <w:b/>
          <w:sz w:val="18"/>
          <w:szCs w:val="18"/>
        </w:rPr>
        <w:t>Central Office</w:t>
      </w:r>
      <w:r w:rsidRPr="002F11C2">
        <w:rPr>
          <w:rFonts w:ascii="Century Gothic" w:hAnsi="Century Gothic"/>
          <w:sz w:val="18"/>
          <w:szCs w:val="18"/>
        </w:rPr>
        <w:t xml:space="preserve"> - P.O. Box 30099 - 00100</w:t>
      </w:r>
    </w:p>
    <w:p w14:paraId="3326EF08" w14:textId="77777777" w:rsidR="00D056EC" w:rsidRPr="002F11C2" w:rsidRDefault="00D056EC" w:rsidP="00D056EC">
      <w:pPr>
        <w:jc w:val="center"/>
        <w:rPr>
          <w:rFonts w:ascii="Century Gothic" w:hAnsi="Century Gothic"/>
          <w:sz w:val="18"/>
          <w:szCs w:val="18"/>
        </w:rPr>
      </w:pPr>
      <w:r w:rsidRPr="002F11C2">
        <w:rPr>
          <w:rFonts w:ascii="Century Gothic" w:hAnsi="Century Gothic"/>
          <w:sz w:val="18"/>
          <w:szCs w:val="18"/>
        </w:rPr>
        <w:t xml:space="preserve">        Telephone – 254 – 02 - 3201000</w:t>
      </w:r>
    </w:p>
    <w:p w14:paraId="77ACCC1C" w14:textId="77777777" w:rsidR="00D056EC" w:rsidRPr="002F11C2" w:rsidRDefault="00D056EC" w:rsidP="00D056EC">
      <w:pPr>
        <w:jc w:val="center"/>
        <w:rPr>
          <w:rFonts w:ascii="Century Gothic" w:hAnsi="Century Gothic"/>
          <w:sz w:val="18"/>
          <w:szCs w:val="18"/>
        </w:rPr>
      </w:pPr>
      <w:r w:rsidRPr="002F11C2">
        <w:rPr>
          <w:rFonts w:ascii="Century Gothic" w:hAnsi="Century Gothic"/>
          <w:sz w:val="18"/>
          <w:szCs w:val="18"/>
        </w:rPr>
        <w:t>Stima Plaza, Kolobot Road</w:t>
      </w:r>
    </w:p>
    <w:p w14:paraId="3B1F55F1" w14:textId="77777777" w:rsidR="00D056EC" w:rsidRPr="002F11C2" w:rsidRDefault="00D056EC" w:rsidP="00D056EC">
      <w:pPr>
        <w:jc w:val="center"/>
        <w:rPr>
          <w:rFonts w:ascii="Century Gothic" w:hAnsi="Century Gothic"/>
          <w:sz w:val="18"/>
          <w:szCs w:val="18"/>
        </w:rPr>
      </w:pPr>
      <w:r w:rsidRPr="002F11C2">
        <w:rPr>
          <w:rFonts w:ascii="Century Gothic" w:hAnsi="Century Gothic"/>
          <w:sz w:val="18"/>
          <w:szCs w:val="18"/>
        </w:rPr>
        <w:t>Nairobi, Kenya</w:t>
      </w:r>
    </w:p>
    <w:p w14:paraId="3C30DD7C" w14:textId="77777777" w:rsidR="00D056EC" w:rsidRPr="002F11C2" w:rsidRDefault="00D056EC" w:rsidP="00D056EC">
      <w:pPr>
        <w:jc w:val="center"/>
        <w:rPr>
          <w:rStyle w:val="Hyperlink"/>
          <w:rFonts w:ascii="Century Gothic" w:hAnsi="Century Gothic"/>
          <w:sz w:val="18"/>
          <w:szCs w:val="18"/>
        </w:rPr>
      </w:pPr>
      <w:hyperlink r:id="rId7" w:history="1">
        <w:r w:rsidRPr="002F11C2">
          <w:rPr>
            <w:rStyle w:val="Hyperlink"/>
            <w:rFonts w:ascii="Century Gothic" w:hAnsi="Century Gothic"/>
            <w:sz w:val="18"/>
            <w:szCs w:val="18"/>
          </w:rPr>
          <w:t>www.kenyapower.co.ke</w:t>
        </w:r>
      </w:hyperlink>
    </w:p>
    <w:p w14:paraId="39ADBD35" w14:textId="77777777" w:rsidR="00122F3B" w:rsidRPr="00122F3B" w:rsidRDefault="00122F3B" w:rsidP="002F11C2">
      <w:pPr>
        <w:rPr>
          <w:rStyle w:val="Hyperlink"/>
          <w:sz w:val="26"/>
          <w:szCs w:val="26"/>
        </w:rPr>
      </w:pPr>
    </w:p>
    <w:p w14:paraId="594067F4" w14:textId="77777777" w:rsidR="008D54FD" w:rsidRPr="00751124" w:rsidRDefault="008D54FD" w:rsidP="00877171">
      <w:pPr>
        <w:jc w:val="both"/>
        <w:rPr>
          <w:rFonts w:ascii="Century Gothic" w:hAnsi="Century Gothic"/>
          <w:b/>
          <w:color w:val="4F81BD"/>
        </w:rPr>
      </w:pPr>
    </w:p>
    <w:bookmarkEnd w:id="0"/>
    <w:bookmarkEnd w:id="1"/>
    <w:p w14:paraId="16E0E358" w14:textId="54DB918F" w:rsidR="00751124" w:rsidRPr="00B26249" w:rsidRDefault="00751124" w:rsidP="00751124">
      <w:pPr>
        <w:jc w:val="both"/>
        <w:outlineLvl w:val="0"/>
        <w:rPr>
          <w:rFonts w:ascii="Century Gothic" w:hAnsi="Century Gothic"/>
        </w:rPr>
      </w:pPr>
      <w:r w:rsidRPr="00B26249">
        <w:rPr>
          <w:rFonts w:ascii="Century Gothic" w:hAnsi="Century Gothic"/>
        </w:rPr>
        <w:t xml:space="preserve">Our Ref: </w:t>
      </w:r>
      <w:r w:rsidR="00290910" w:rsidRPr="00B26249">
        <w:rPr>
          <w:rFonts w:ascii="Century Gothic" w:hAnsi="Century Gothic"/>
          <w:color w:val="000080"/>
        </w:rPr>
        <w:t>KP1/9A.3/OT/2</w:t>
      </w:r>
      <w:r w:rsidR="00DD4580" w:rsidRPr="00B26249">
        <w:rPr>
          <w:rFonts w:ascii="Century Gothic" w:hAnsi="Century Gothic"/>
          <w:color w:val="000080"/>
        </w:rPr>
        <w:t>0</w:t>
      </w:r>
      <w:r w:rsidR="00D23D00" w:rsidRPr="00B26249">
        <w:rPr>
          <w:rFonts w:ascii="Century Gothic" w:hAnsi="Century Gothic"/>
          <w:color w:val="000080"/>
        </w:rPr>
        <w:t>/</w:t>
      </w:r>
      <w:r w:rsidR="003D5D20" w:rsidRPr="00B26249">
        <w:rPr>
          <w:rFonts w:ascii="Century Gothic" w:hAnsi="Century Gothic"/>
          <w:color w:val="000080"/>
        </w:rPr>
        <w:t>2</w:t>
      </w:r>
      <w:r w:rsidR="00DD4580" w:rsidRPr="00B26249">
        <w:rPr>
          <w:rFonts w:ascii="Century Gothic" w:hAnsi="Century Gothic"/>
          <w:color w:val="000080"/>
        </w:rPr>
        <w:t>4</w:t>
      </w:r>
      <w:r w:rsidR="003D5D20" w:rsidRPr="00B26249">
        <w:rPr>
          <w:rFonts w:ascii="Century Gothic" w:hAnsi="Century Gothic"/>
          <w:color w:val="000080"/>
        </w:rPr>
        <w:t>-2</w:t>
      </w:r>
      <w:r w:rsidR="00DD4580" w:rsidRPr="00B26249">
        <w:rPr>
          <w:rFonts w:ascii="Century Gothic" w:hAnsi="Century Gothic"/>
          <w:color w:val="000080"/>
        </w:rPr>
        <w:t>5/</w:t>
      </w:r>
      <w:r w:rsidR="00290910" w:rsidRPr="00B26249">
        <w:rPr>
          <w:rFonts w:ascii="Century Gothic" w:hAnsi="Century Gothic"/>
          <w:color w:val="000080"/>
        </w:rPr>
        <w:t>JM</w:t>
      </w:r>
      <w:r w:rsidR="003D5D20" w:rsidRPr="00B26249">
        <w:rPr>
          <w:rFonts w:ascii="Century Gothic" w:hAnsi="Century Gothic"/>
          <w:color w:val="000080"/>
        </w:rPr>
        <w:t>/</w:t>
      </w:r>
      <w:proofErr w:type="spellStart"/>
      <w:r w:rsidR="003D5D20" w:rsidRPr="00B26249">
        <w:rPr>
          <w:rFonts w:ascii="Century Gothic" w:hAnsi="Century Gothic"/>
          <w:color w:val="000080"/>
        </w:rPr>
        <w:t>ew</w:t>
      </w:r>
      <w:proofErr w:type="spellEnd"/>
      <w:r w:rsidR="00D23D00" w:rsidRPr="00B26249">
        <w:rPr>
          <w:rFonts w:ascii="Century Gothic" w:hAnsi="Century Gothic"/>
        </w:rPr>
        <w:tab/>
        <w:t xml:space="preserve">        </w:t>
      </w:r>
      <w:r w:rsidR="00484E19" w:rsidRPr="00B26249">
        <w:rPr>
          <w:rFonts w:ascii="Century Gothic" w:hAnsi="Century Gothic"/>
        </w:rPr>
        <w:t xml:space="preserve">     </w:t>
      </w:r>
      <w:r w:rsidR="00484E19" w:rsidRPr="00B26249">
        <w:rPr>
          <w:rFonts w:ascii="Century Gothic" w:hAnsi="Century Gothic"/>
        </w:rPr>
        <w:tab/>
      </w:r>
      <w:r w:rsidR="00D23D00" w:rsidRPr="00B26249">
        <w:rPr>
          <w:rFonts w:ascii="Century Gothic" w:hAnsi="Century Gothic"/>
        </w:rPr>
        <w:t xml:space="preserve">     </w:t>
      </w:r>
      <w:r w:rsidR="00D23D00" w:rsidRPr="00B26249">
        <w:rPr>
          <w:rFonts w:ascii="Century Gothic" w:hAnsi="Century Gothic"/>
        </w:rPr>
        <w:tab/>
        <w:t xml:space="preserve">  </w:t>
      </w:r>
      <w:r w:rsidRPr="00B26249">
        <w:rPr>
          <w:rFonts w:ascii="Century Gothic" w:hAnsi="Century Gothic"/>
        </w:rPr>
        <w:t xml:space="preserve"> </w:t>
      </w:r>
      <w:r w:rsidR="00DD4580" w:rsidRPr="00B26249">
        <w:rPr>
          <w:rFonts w:ascii="Century Gothic" w:hAnsi="Century Gothic"/>
        </w:rPr>
        <w:t>17</w:t>
      </w:r>
      <w:r w:rsidR="00484E19" w:rsidRPr="00B26249">
        <w:rPr>
          <w:rFonts w:ascii="Century Gothic" w:hAnsi="Century Gothic"/>
          <w:vertAlign w:val="superscript"/>
        </w:rPr>
        <w:t>th</w:t>
      </w:r>
      <w:r w:rsidR="00484E19" w:rsidRPr="00B26249">
        <w:rPr>
          <w:rFonts w:ascii="Century Gothic" w:hAnsi="Century Gothic"/>
        </w:rPr>
        <w:t xml:space="preserve"> </w:t>
      </w:r>
      <w:r w:rsidR="00DD4580" w:rsidRPr="00B26249">
        <w:rPr>
          <w:rFonts w:ascii="Century Gothic" w:hAnsi="Century Gothic"/>
        </w:rPr>
        <w:t>March</w:t>
      </w:r>
      <w:r w:rsidR="00290910" w:rsidRPr="00B26249">
        <w:rPr>
          <w:rFonts w:ascii="Century Gothic" w:hAnsi="Century Gothic"/>
        </w:rPr>
        <w:t xml:space="preserve"> 202</w:t>
      </w:r>
      <w:r w:rsidR="00DD4580" w:rsidRPr="00B26249">
        <w:rPr>
          <w:rFonts w:ascii="Century Gothic" w:hAnsi="Century Gothic"/>
        </w:rPr>
        <w:t>5</w:t>
      </w:r>
    </w:p>
    <w:p w14:paraId="4C7E696E" w14:textId="77777777" w:rsidR="00751124" w:rsidRPr="00B26249" w:rsidRDefault="00751124" w:rsidP="00751124">
      <w:pPr>
        <w:jc w:val="both"/>
        <w:rPr>
          <w:rFonts w:ascii="Century Gothic" w:hAnsi="Century Gothic"/>
          <w:b/>
        </w:rPr>
      </w:pPr>
    </w:p>
    <w:p w14:paraId="289F7F39" w14:textId="77777777" w:rsidR="00751124" w:rsidRPr="00B26249" w:rsidRDefault="00D23D00" w:rsidP="00751124">
      <w:pPr>
        <w:rPr>
          <w:rFonts w:ascii="Century Gothic" w:eastAsiaTheme="minorHAnsi" w:hAnsi="Century Gothic" w:cstheme="minorBidi"/>
          <w:b/>
        </w:rPr>
      </w:pPr>
      <w:r w:rsidRPr="00B26249">
        <w:rPr>
          <w:rFonts w:ascii="Century Gothic" w:eastAsiaTheme="minorHAnsi" w:hAnsi="Century Gothic" w:cstheme="minorBidi"/>
          <w:b/>
        </w:rPr>
        <w:t>TO ALL TENDERERS</w:t>
      </w:r>
    </w:p>
    <w:p w14:paraId="09E07485" w14:textId="77777777" w:rsidR="00751124" w:rsidRPr="00B26249" w:rsidRDefault="00751124" w:rsidP="00751124">
      <w:pPr>
        <w:jc w:val="both"/>
        <w:rPr>
          <w:rFonts w:ascii="Century Gothic" w:hAnsi="Century Gothic"/>
          <w:color w:val="000000"/>
        </w:rPr>
      </w:pPr>
      <w:hyperlink r:id="rId8" w:history="1"/>
    </w:p>
    <w:p w14:paraId="02E2B862" w14:textId="77777777" w:rsidR="00751124" w:rsidRPr="00B26249" w:rsidRDefault="00751124" w:rsidP="00751124">
      <w:pPr>
        <w:jc w:val="both"/>
        <w:rPr>
          <w:rFonts w:ascii="Century Gothic" w:hAnsi="Century Gothic"/>
        </w:rPr>
      </w:pPr>
      <w:r w:rsidRPr="00B26249">
        <w:rPr>
          <w:rFonts w:ascii="Century Gothic" w:hAnsi="Century Gothic"/>
        </w:rPr>
        <w:t>Dear Sir</w:t>
      </w:r>
      <w:r w:rsidR="00ED4EE9" w:rsidRPr="00B26249">
        <w:rPr>
          <w:rFonts w:ascii="Century Gothic" w:hAnsi="Century Gothic"/>
        </w:rPr>
        <w:t>/Madam</w:t>
      </w:r>
      <w:r w:rsidRPr="00B26249">
        <w:rPr>
          <w:rFonts w:ascii="Century Gothic" w:hAnsi="Century Gothic"/>
        </w:rPr>
        <w:t>,</w:t>
      </w:r>
    </w:p>
    <w:p w14:paraId="4EC84591" w14:textId="77777777" w:rsidR="00751124" w:rsidRPr="00B26249" w:rsidRDefault="00751124" w:rsidP="00751124">
      <w:pPr>
        <w:jc w:val="both"/>
        <w:rPr>
          <w:rFonts w:ascii="Century Gothic" w:hAnsi="Century Gothic"/>
        </w:rPr>
      </w:pPr>
    </w:p>
    <w:p w14:paraId="7421ADD5" w14:textId="043E28F1" w:rsidR="00751124" w:rsidRPr="00B26249" w:rsidRDefault="00751124" w:rsidP="00BD44DF">
      <w:pPr>
        <w:keepNext/>
        <w:keepLines/>
        <w:spacing w:before="40" w:line="276" w:lineRule="auto"/>
        <w:jc w:val="both"/>
        <w:outlineLvl w:val="3"/>
        <w:rPr>
          <w:rFonts w:ascii="Century Gothic" w:eastAsiaTheme="majorEastAsia" w:hAnsi="Century Gothic" w:cstheme="majorBidi"/>
          <w:b/>
          <w:iCs/>
          <w:caps/>
          <w:u w:val="single"/>
        </w:rPr>
      </w:pPr>
      <w:r w:rsidRPr="00B26249">
        <w:rPr>
          <w:rFonts w:ascii="Century Gothic" w:eastAsiaTheme="majorEastAsia" w:hAnsi="Century Gothic" w:cstheme="majorBidi"/>
          <w:b/>
          <w:iCs/>
          <w:u w:val="single"/>
        </w:rPr>
        <w:t xml:space="preserve">RE: </w:t>
      </w:r>
      <w:r w:rsidR="00290910" w:rsidRPr="00B26249">
        <w:rPr>
          <w:rFonts w:ascii="Century Gothic" w:eastAsiaTheme="majorEastAsia" w:hAnsi="Century Gothic" w:cstheme="majorBidi"/>
          <w:b/>
          <w:iCs/>
          <w:u w:val="single"/>
        </w:rPr>
        <w:t>ADDENDUM NO.2</w:t>
      </w:r>
      <w:r w:rsidR="00484E19" w:rsidRPr="00B26249">
        <w:rPr>
          <w:rFonts w:ascii="Century Gothic" w:eastAsiaTheme="majorEastAsia" w:hAnsi="Century Gothic" w:cstheme="majorBidi"/>
          <w:b/>
          <w:iCs/>
          <w:u w:val="single"/>
        </w:rPr>
        <w:t xml:space="preserve"> TO THE TENDER NO.KP1/9A.3/OT/</w:t>
      </w:r>
      <w:r w:rsidR="00290910" w:rsidRPr="00B26249">
        <w:rPr>
          <w:rFonts w:ascii="Century Gothic" w:eastAsiaTheme="majorEastAsia" w:hAnsi="Century Gothic" w:cstheme="majorBidi"/>
          <w:b/>
          <w:iCs/>
          <w:u w:val="single"/>
        </w:rPr>
        <w:t>2</w:t>
      </w:r>
      <w:r w:rsidR="00DD4580" w:rsidRPr="00B26249">
        <w:rPr>
          <w:rFonts w:ascii="Century Gothic" w:eastAsiaTheme="majorEastAsia" w:hAnsi="Century Gothic" w:cstheme="majorBidi"/>
          <w:b/>
          <w:iCs/>
          <w:u w:val="single"/>
        </w:rPr>
        <w:t>0</w:t>
      </w:r>
      <w:r w:rsidR="00290910" w:rsidRPr="00B26249">
        <w:rPr>
          <w:rFonts w:ascii="Century Gothic" w:eastAsiaTheme="majorEastAsia" w:hAnsi="Century Gothic" w:cstheme="majorBidi"/>
          <w:b/>
          <w:iCs/>
          <w:u w:val="single"/>
        </w:rPr>
        <w:t>/2</w:t>
      </w:r>
      <w:r w:rsidR="00DD4580" w:rsidRPr="00B26249">
        <w:rPr>
          <w:rFonts w:ascii="Century Gothic" w:eastAsiaTheme="majorEastAsia" w:hAnsi="Century Gothic" w:cstheme="majorBidi"/>
          <w:b/>
          <w:iCs/>
          <w:u w:val="single"/>
        </w:rPr>
        <w:t>4</w:t>
      </w:r>
      <w:r w:rsidR="00290910" w:rsidRPr="00B26249">
        <w:rPr>
          <w:rFonts w:ascii="Century Gothic" w:eastAsiaTheme="majorEastAsia" w:hAnsi="Century Gothic" w:cstheme="majorBidi"/>
          <w:b/>
          <w:iCs/>
          <w:u w:val="single"/>
        </w:rPr>
        <w:t>-2</w:t>
      </w:r>
      <w:r w:rsidR="00DD4580" w:rsidRPr="00B26249">
        <w:rPr>
          <w:rFonts w:ascii="Century Gothic" w:eastAsiaTheme="majorEastAsia" w:hAnsi="Century Gothic" w:cstheme="majorBidi"/>
          <w:b/>
          <w:iCs/>
          <w:u w:val="single"/>
        </w:rPr>
        <w:t>5</w:t>
      </w:r>
      <w:r w:rsidR="00484E19" w:rsidRPr="00B26249">
        <w:rPr>
          <w:rFonts w:ascii="Century Gothic" w:eastAsiaTheme="majorEastAsia" w:hAnsi="Century Gothic" w:cstheme="majorBidi"/>
          <w:b/>
          <w:iCs/>
          <w:u w:val="single"/>
        </w:rPr>
        <w:t xml:space="preserve"> FOR </w:t>
      </w:r>
      <w:r w:rsidR="00BD44DF" w:rsidRPr="00B26249">
        <w:rPr>
          <w:rFonts w:ascii="Century Gothic" w:eastAsiaTheme="majorEastAsia" w:hAnsi="Century Gothic" w:cstheme="majorBidi"/>
          <w:b/>
          <w:iCs/>
          <w:u w:val="single"/>
        </w:rPr>
        <w:t>PROCUREMENT OF MATERIALS FOR FABRICATION OF MCB BOXES (SPECIAL GROUP).</w:t>
      </w:r>
    </w:p>
    <w:p w14:paraId="4B16B346" w14:textId="77777777" w:rsidR="009B0EE8" w:rsidRPr="00B26249" w:rsidRDefault="009B0EE8" w:rsidP="00751124">
      <w:pPr>
        <w:jc w:val="both"/>
        <w:rPr>
          <w:rFonts w:ascii="Century Gothic" w:hAnsi="Century Gothic"/>
        </w:rPr>
      </w:pPr>
    </w:p>
    <w:p w14:paraId="40E857AD" w14:textId="77777777" w:rsidR="00751124" w:rsidRPr="00B26249" w:rsidRDefault="009B0EE8" w:rsidP="00751124">
      <w:pPr>
        <w:jc w:val="both"/>
        <w:rPr>
          <w:rFonts w:ascii="Century Gothic" w:hAnsi="Century Gothic"/>
        </w:rPr>
      </w:pPr>
      <w:r w:rsidRPr="00B26249">
        <w:rPr>
          <w:rFonts w:ascii="Century Gothic" w:hAnsi="Century Gothic"/>
        </w:rPr>
        <w:t>The above tender refers.</w:t>
      </w:r>
    </w:p>
    <w:p w14:paraId="2C785A1F" w14:textId="77777777" w:rsidR="00C91570" w:rsidRPr="00B26249" w:rsidRDefault="00C91570" w:rsidP="00751124">
      <w:pPr>
        <w:jc w:val="both"/>
        <w:rPr>
          <w:rFonts w:ascii="Century Gothic" w:hAnsi="Century Gothic"/>
        </w:rPr>
      </w:pPr>
    </w:p>
    <w:p w14:paraId="20261BAC" w14:textId="7258601D" w:rsidR="009B0EE8" w:rsidRPr="00B26249" w:rsidRDefault="00C91570" w:rsidP="00751124">
      <w:pPr>
        <w:jc w:val="both"/>
        <w:rPr>
          <w:rFonts w:ascii="Century Gothic" w:hAnsi="Century Gothic"/>
        </w:rPr>
      </w:pPr>
      <w:r w:rsidRPr="00B26249">
        <w:rPr>
          <w:rFonts w:ascii="Century Gothic" w:hAnsi="Century Gothic"/>
        </w:rPr>
        <w:t xml:space="preserve">Following </w:t>
      </w:r>
      <w:r w:rsidR="00FC011D" w:rsidRPr="00B26249">
        <w:rPr>
          <w:rFonts w:ascii="Century Gothic" w:hAnsi="Century Gothic"/>
        </w:rPr>
        <w:t xml:space="preserve">a </w:t>
      </w:r>
      <w:r w:rsidR="003D24E0" w:rsidRPr="00B26249">
        <w:rPr>
          <w:rFonts w:ascii="Century Gothic" w:hAnsi="Century Gothic"/>
        </w:rPr>
        <w:t xml:space="preserve">question raised by a bidder, </w:t>
      </w:r>
      <w:r w:rsidRPr="00B26249">
        <w:rPr>
          <w:rFonts w:ascii="Century Gothic" w:hAnsi="Century Gothic"/>
        </w:rPr>
        <w:t>we</w:t>
      </w:r>
      <w:r w:rsidR="003D24E0" w:rsidRPr="00B26249">
        <w:rPr>
          <w:rFonts w:ascii="Century Gothic" w:hAnsi="Century Gothic"/>
        </w:rPr>
        <w:t xml:space="preserve"> wish to</w:t>
      </w:r>
      <w:r w:rsidRPr="00B26249">
        <w:rPr>
          <w:rFonts w:ascii="Century Gothic" w:hAnsi="Century Gothic"/>
        </w:rPr>
        <w:t xml:space="preserve"> make the following clarifications</w:t>
      </w:r>
      <w:r w:rsidR="003D24E0" w:rsidRPr="00B26249">
        <w:rPr>
          <w:rFonts w:ascii="Century Gothic" w:hAnsi="Century Gothic"/>
        </w:rPr>
        <w:t xml:space="preserve"> regarding the tender</w:t>
      </w:r>
      <w:r w:rsidRPr="00B26249">
        <w:rPr>
          <w:rFonts w:ascii="Century Gothic" w:hAnsi="Century Gothic"/>
        </w:rPr>
        <w:t xml:space="preserve"> </w:t>
      </w:r>
      <w:r w:rsidR="003D24E0" w:rsidRPr="00B26249">
        <w:rPr>
          <w:rFonts w:ascii="Century Gothic" w:hAnsi="Century Gothic"/>
        </w:rPr>
        <w:t>for</w:t>
      </w:r>
      <w:r w:rsidR="00484E19" w:rsidRPr="00B26249">
        <w:rPr>
          <w:rFonts w:ascii="Century Gothic" w:hAnsi="Century Gothic"/>
        </w:rPr>
        <w:t xml:space="preserve"> </w:t>
      </w:r>
      <w:r w:rsidR="00FC011D" w:rsidRPr="00B26249">
        <w:rPr>
          <w:rFonts w:ascii="Century Gothic" w:hAnsi="Century Gothic"/>
        </w:rPr>
        <w:t>Procurement of Materials for Fabrication of MCB Boxes (Special Group)</w:t>
      </w:r>
      <w:r w:rsidR="00484E19" w:rsidRPr="00B26249">
        <w:rPr>
          <w:rFonts w:ascii="Century Gothic" w:hAnsi="Century Gothic"/>
        </w:rPr>
        <w:t xml:space="preserve">. </w:t>
      </w:r>
    </w:p>
    <w:p w14:paraId="7100691A" w14:textId="77777777" w:rsidR="00F74E0F" w:rsidRPr="00B26249" w:rsidRDefault="00F74E0F" w:rsidP="00751124">
      <w:pPr>
        <w:jc w:val="both"/>
        <w:rPr>
          <w:rFonts w:ascii="Century Gothic" w:hAnsi="Century Gothic"/>
        </w:rPr>
      </w:pPr>
    </w:p>
    <w:p w14:paraId="37CCFF8F" w14:textId="77777777" w:rsidR="00F74E0F" w:rsidRPr="00B26249" w:rsidRDefault="00F74E0F" w:rsidP="00F74E0F">
      <w:pPr>
        <w:pStyle w:val="ListParagraph"/>
        <w:numPr>
          <w:ilvl w:val="0"/>
          <w:numId w:val="15"/>
        </w:numPr>
        <w:jc w:val="both"/>
        <w:rPr>
          <w:rFonts w:ascii="Century Gothic" w:hAnsi="Century Gothic"/>
          <w:b/>
          <w:u w:val="single"/>
        </w:rPr>
      </w:pPr>
      <w:r w:rsidRPr="00B26249">
        <w:rPr>
          <w:rFonts w:ascii="Century Gothic" w:hAnsi="Century Gothic"/>
          <w:b/>
          <w:u w:val="single"/>
        </w:rPr>
        <w:t>RELATIONSHIP WITH THE PRINCIPAL TENDER DOCUMENT</w:t>
      </w:r>
      <w:r w:rsidR="003D24E0" w:rsidRPr="00B26249">
        <w:rPr>
          <w:rFonts w:ascii="Century Gothic" w:hAnsi="Century Gothic"/>
          <w:b/>
          <w:u w:val="single"/>
        </w:rPr>
        <w:t xml:space="preserve"> (PTD)</w:t>
      </w:r>
    </w:p>
    <w:p w14:paraId="4E74E731" w14:textId="77777777" w:rsidR="00F74E0F" w:rsidRPr="00B26249" w:rsidRDefault="00F74E0F" w:rsidP="00F74E0F">
      <w:pPr>
        <w:pStyle w:val="ListParagraph"/>
        <w:jc w:val="both"/>
        <w:rPr>
          <w:rFonts w:ascii="Century Gothic" w:hAnsi="Century Gothic"/>
          <w:b/>
          <w:u w:val="single"/>
        </w:rPr>
      </w:pPr>
    </w:p>
    <w:p w14:paraId="75D61F42" w14:textId="77777777" w:rsidR="00F74E0F" w:rsidRPr="00B26249" w:rsidRDefault="00F74E0F" w:rsidP="00F74E0F">
      <w:pPr>
        <w:jc w:val="both"/>
        <w:rPr>
          <w:rFonts w:ascii="Century Gothic" w:hAnsi="Century Gothic"/>
        </w:rPr>
      </w:pPr>
      <w:r w:rsidRPr="00B26249">
        <w:rPr>
          <w:rFonts w:ascii="Century Gothic" w:hAnsi="Century Gothic"/>
        </w:rPr>
        <w:t xml:space="preserve">Save where expressly amended by the terms of this </w:t>
      </w:r>
      <w:r w:rsidR="00D74CBF" w:rsidRPr="00B26249">
        <w:rPr>
          <w:rFonts w:ascii="Century Gothic" w:hAnsi="Century Gothic"/>
        </w:rPr>
        <w:t>clarification</w:t>
      </w:r>
      <w:r w:rsidRPr="00B26249">
        <w:rPr>
          <w:rFonts w:ascii="Century Gothic" w:hAnsi="Century Gothic"/>
        </w:rPr>
        <w:t xml:space="preserve">, the PTD shall continue to be in full force and </w:t>
      </w:r>
      <w:r w:rsidR="00D74CBF" w:rsidRPr="00B26249">
        <w:rPr>
          <w:rFonts w:ascii="Century Gothic" w:hAnsi="Century Gothic"/>
        </w:rPr>
        <w:t xml:space="preserve">effect. The provisions of this clarification </w:t>
      </w:r>
      <w:r w:rsidRPr="00B26249">
        <w:rPr>
          <w:rFonts w:ascii="Century Gothic" w:hAnsi="Century Gothic"/>
        </w:rPr>
        <w:t>shall be deemed to have been incorporated in and shall be read and construed as part of the PTD.</w:t>
      </w:r>
    </w:p>
    <w:p w14:paraId="327A2CBA" w14:textId="77777777" w:rsidR="00F74E0F" w:rsidRPr="00B26249" w:rsidRDefault="00F74E0F" w:rsidP="00F74E0F">
      <w:pPr>
        <w:jc w:val="both"/>
        <w:rPr>
          <w:rFonts w:ascii="Century Gothic" w:hAnsi="Century Gothic"/>
        </w:rPr>
      </w:pPr>
    </w:p>
    <w:p w14:paraId="141297E4" w14:textId="77777777" w:rsidR="00F74E0F" w:rsidRPr="00B26249" w:rsidRDefault="00F74E0F" w:rsidP="00F74E0F">
      <w:pPr>
        <w:pStyle w:val="ListParagraph"/>
        <w:numPr>
          <w:ilvl w:val="0"/>
          <w:numId w:val="15"/>
        </w:numPr>
        <w:jc w:val="both"/>
        <w:rPr>
          <w:rFonts w:ascii="Century Gothic" w:hAnsi="Century Gothic"/>
          <w:b/>
        </w:rPr>
      </w:pPr>
      <w:r w:rsidRPr="00B26249">
        <w:rPr>
          <w:rFonts w:ascii="Century Gothic" w:hAnsi="Century Gothic"/>
          <w:b/>
          <w:u w:val="single"/>
        </w:rPr>
        <w:t>CLARIFICATIONS</w:t>
      </w:r>
    </w:p>
    <w:p w14:paraId="2859C1C6" w14:textId="77777777" w:rsidR="00F74E0F" w:rsidRPr="00B26249" w:rsidRDefault="00F74E0F" w:rsidP="00F74E0F">
      <w:pPr>
        <w:pStyle w:val="ListParagraph"/>
        <w:jc w:val="both"/>
        <w:rPr>
          <w:rFonts w:ascii="Century Gothic" w:hAnsi="Century Gothic"/>
          <w:b/>
        </w:rPr>
      </w:pPr>
    </w:p>
    <w:tbl>
      <w:tblPr>
        <w:tblStyle w:val="TableGrid"/>
        <w:tblW w:w="882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630"/>
        <w:gridCol w:w="4500"/>
        <w:gridCol w:w="3690"/>
      </w:tblGrid>
      <w:tr w:rsidR="005F38D5" w:rsidRPr="00B26249" w14:paraId="52A952A4" w14:textId="77777777" w:rsidTr="00B26249">
        <w:trPr>
          <w:trHeight w:val="278"/>
        </w:trPr>
        <w:tc>
          <w:tcPr>
            <w:tcW w:w="630" w:type="dxa"/>
          </w:tcPr>
          <w:p w14:paraId="166B8866" w14:textId="77777777" w:rsidR="005F38D5" w:rsidRPr="00B26249" w:rsidRDefault="005F38D5" w:rsidP="00294E7E">
            <w:pPr>
              <w:rPr>
                <w:rFonts w:ascii="Century Gothic" w:hAnsi="Century Gothic"/>
                <w:b/>
              </w:rPr>
            </w:pPr>
            <w:r w:rsidRPr="00B26249">
              <w:rPr>
                <w:rFonts w:ascii="Century Gothic" w:hAnsi="Century Gothic"/>
                <w:b/>
              </w:rPr>
              <w:t>NO</w:t>
            </w:r>
          </w:p>
        </w:tc>
        <w:tc>
          <w:tcPr>
            <w:tcW w:w="4500" w:type="dxa"/>
          </w:tcPr>
          <w:p w14:paraId="10AC310A" w14:textId="77777777" w:rsidR="005F38D5" w:rsidRPr="00B26249" w:rsidRDefault="005F38D5" w:rsidP="00294E7E">
            <w:pPr>
              <w:rPr>
                <w:rFonts w:ascii="Century Gothic" w:hAnsi="Century Gothic"/>
                <w:b/>
              </w:rPr>
            </w:pPr>
            <w:r w:rsidRPr="00B26249">
              <w:rPr>
                <w:rFonts w:ascii="Century Gothic" w:hAnsi="Century Gothic"/>
                <w:b/>
              </w:rPr>
              <w:t>TENDERER’S QUESTION</w:t>
            </w:r>
          </w:p>
        </w:tc>
        <w:tc>
          <w:tcPr>
            <w:tcW w:w="3690" w:type="dxa"/>
          </w:tcPr>
          <w:p w14:paraId="38E20A13" w14:textId="77777777" w:rsidR="005F38D5" w:rsidRPr="00B26249" w:rsidRDefault="005F38D5" w:rsidP="00294E7E">
            <w:pPr>
              <w:rPr>
                <w:rFonts w:ascii="Century Gothic" w:hAnsi="Century Gothic"/>
                <w:b/>
              </w:rPr>
            </w:pPr>
            <w:r w:rsidRPr="00B26249">
              <w:rPr>
                <w:rFonts w:ascii="Century Gothic" w:hAnsi="Century Gothic"/>
                <w:b/>
              </w:rPr>
              <w:t>KPLC RESPONSE</w:t>
            </w:r>
          </w:p>
        </w:tc>
      </w:tr>
      <w:tr w:rsidR="005F38D5" w:rsidRPr="00B26249" w14:paraId="2A4F9F86" w14:textId="77777777" w:rsidTr="005F38D5">
        <w:trPr>
          <w:trHeight w:val="629"/>
        </w:trPr>
        <w:tc>
          <w:tcPr>
            <w:tcW w:w="630" w:type="dxa"/>
          </w:tcPr>
          <w:p w14:paraId="44D45251" w14:textId="77777777" w:rsidR="005F38D5" w:rsidRPr="00B26249" w:rsidRDefault="005F38D5" w:rsidP="00294E7E">
            <w:pPr>
              <w:rPr>
                <w:rFonts w:ascii="Century Gothic" w:hAnsi="Century Gothic"/>
              </w:rPr>
            </w:pPr>
            <w:r w:rsidRPr="00B26249">
              <w:rPr>
                <w:rFonts w:ascii="Century Gothic" w:hAnsi="Century Gothic"/>
              </w:rPr>
              <w:t>1</w:t>
            </w:r>
          </w:p>
        </w:tc>
        <w:tc>
          <w:tcPr>
            <w:tcW w:w="4500" w:type="dxa"/>
          </w:tcPr>
          <w:p w14:paraId="21F18DA3" w14:textId="6E45114B" w:rsidR="005F38D5" w:rsidRPr="00B26249" w:rsidRDefault="005F38D5" w:rsidP="00294E7E">
            <w:pPr>
              <w:rPr>
                <w:rFonts w:ascii="Century Gothic" w:hAnsi="Century Gothic"/>
              </w:rPr>
            </w:pPr>
            <w:r w:rsidRPr="00B26249">
              <w:rPr>
                <w:rFonts w:ascii="Century Gothic" w:hAnsi="Century Gothic"/>
              </w:rPr>
              <w:t>There are references made to Technical specification document KP1/13D/4/1/TSP/05/029 for the 50mm2 Bimetal lug-M10 SIZE which is yet to be provided</w:t>
            </w:r>
          </w:p>
        </w:tc>
        <w:tc>
          <w:tcPr>
            <w:tcW w:w="3690" w:type="dxa"/>
          </w:tcPr>
          <w:p w14:paraId="4AD3617C" w14:textId="30432F89" w:rsidR="005F38D5" w:rsidRPr="00B26249" w:rsidRDefault="005F38D5" w:rsidP="00F055CC">
            <w:pPr>
              <w:ind w:left="66"/>
              <w:rPr>
                <w:rFonts w:ascii="Century Gothic" w:hAnsi="Century Gothic"/>
              </w:rPr>
            </w:pPr>
            <w:r w:rsidRPr="00B26249">
              <w:rPr>
                <w:rFonts w:ascii="Century Gothic" w:hAnsi="Century Gothic"/>
              </w:rPr>
              <w:t xml:space="preserve">Bidders to refer to clause 4.5 of Specification </w:t>
            </w:r>
            <w:r w:rsidRPr="00B26249">
              <w:rPr>
                <w:rFonts w:ascii="Century Gothic" w:hAnsi="Century Gothic"/>
              </w:rPr>
              <w:t>KP1/13D/4/1/TSP/05/029</w:t>
            </w:r>
            <w:r w:rsidRPr="00B26249">
              <w:rPr>
                <w:rFonts w:ascii="Century Gothic" w:hAnsi="Century Gothic"/>
              </w:rPr>
              <w:t xml:space="preserve"> attached as Appendix I</w:t>
            </w:r>
            <w:r w:rsidR="00B6495D">
              <w:rPr>
                <w:rFonts w:ascii="Century Gothic" w:hAnsi="Century Gothic"/>
              </w:rPr>
              <w:t xml:space="preserve"> </w:t>
            </w:r>
          </w:p>
        </w:tc>
      </w:tr>
    </w:tbl>
    <w:p w14:paraId="538F4F89" w14:textId="77777777" w:rsidR="00EC1016" w:rsidRPr="00B26249" w:rsidRDefault="00EC1016" w:rsidP="00EC1016">
      <w:pPr>
        <w:pStyle w:val="BodyTextIndent2"/>
        <w:spacing w:line="240" w:lineRule="auto"/>
        <w:ind w:left="0"/>
        <w:jc w:val="both"/>
        <w:rPr>
          <w:rFonts w:ascii="Century Gothic" w:hAnsi="Century Gothic"/>
          <w:b/>
        </w:rPr>
      </w:pPr>
      <w:r w:rsidRPr="00B26249">
        <w:rPr>
          <w:rFonts w:ascii="Century Gothic" w:hAnsi="Century Gothic"/>
          <w:b/>
        </w:rPr>
        <w:t xml:space="preserve"> </w:t>
      </w:r>
    </w:p>
    <w:p w14:paraId="295E8EA6" w14:textId="5814F3B4" w:rsidR="00FC011D" w:rsidRPr="00B26249" w:rsidRDefault="00FC011D" w:rsidP="00FC011D">
      <w:pPr>
        <w:pStyle w:val="ListParagraph"/>
        <w:numPr>
          <w:ilvl w:val="0"/>
          <w:numId w:val="15"/>
        </w:numPr>
        <w:jc w:val="both"/>
        <w:rPr>
          <w:rFonts w:ascii="Century Gothic" w:hAnsi="Century Gothic"/>
          <w:b/>
        </w:rPr>
      </w:pPr>
      <w:r w:rsidRPr="00B26249">
        <w:rPr>
          <w:rFonts w:ascii="Century Gothic" w:hAnsi="Century Gothic"/>
          <w:b/>
          <w:u w:val="single"/>
        </w:rPr>
        <w:t>DEADLINE FOR SUBMISSION OF TENDER.</w:t>
      </w:r>
    </w:p>
    <w:p w14:paraId="4E4AC322" w14:textId="77777777" w:rsidR="00FC011D" w:rsidRPr="00B26249" w:rsidRDefault="00FC011D" w:rsidP="00FC011D">
      <w:pPr>
        <w:pStyle w:val="ListParagraph"/>
        <w:jc w:val="both"/>
        <w:rPr>
          <w:rFonts w:ascii="Century Gothic" w:hAnsi="Century Gothic"/>
          <w:b/>
        </w:rPr>
      </w:pPr>
    </w:p>
    <w:p w14:paraId="76053C01" w14:textId="0CACA64D" w:rsidR="00FC011D" w:rsidRPr="00B26249" w:rsidRDefault="00FC011D" w:rsidP="00FC011D">
      <w:pPr>
        <w:jc w:val="both"/>
        <w:rPr>
          <w:rFonts w:ascii="Century Gothic" w:hAnsi="Century Gothic"/>
        </w:rPr>
      </w:pPr>
      <w:r w:rsidRPr="00B26249">
        <w:rPr>
          <w:rFonts w:ascii="Century Gothic" w:hAnsi="Century Gothic"/>
        </w:rPr>
        <w:t xml:space="preserve">The tender closing has been extended from </w:t>
      </w:r>
      <w:r w:rsidRPr="00B26249">
        <w:rPr>
          <w:rFonts w:ascii="Century Gothic" w:hAnsi="Century Gothic"/>
        </w:rPr>
        <w:t>25</w:t>
      </w:r>
      <w:r w:rsidRPr="00B26249">
        <w:rPr>
          <w:rFonts w:ascii="Century Gothic" w:hAnsi="Century Gothic"/>
          <w:vertAlign w:val="superscript"/>
        </w:rPr>
        <w:t>th</w:t>
      </w:r>
      <w:r w:rsidRPr="00B26249">
        <w:rPr>
          <w:rFonts w:ascii="Century Gothic" w:hAnsi="Century Gothic"/>
        </w:rPr>
        <w:t xml:space="preserve"> Marc</w:t>
      </w:r>
      <w:r w:rsidRPr="00B26249">
        <w:rPr>
          <w:rFonts w:ascii="Century Gothic" w:hAnsi="Century Gothic"/>
        </w:rPr>
        <w:t>h</w:t>
      </w:r>
      <w:r w:rsidRPr="00B26249">
        <w:rPr>
          <w:rFonts w:ascii="Century Gothic" w:hAnsi="Century Gothic"/>
        </w:rPr>
        <w:t xml:space="preserve"> 202</w:t>
      </w:r>
      <w:r w:rsidRPr="00B26249">
        <w:rPr>
          <w:rFonts w:ascii="Century Gothic" w:hAnsi="Century Gothic"/>
        </w:rPr>
        <w:t>5</w:t>
      </w:r>
      <w:r w:rsidRPr="00B26249">
        <w:rPr>
          <w:rFonts w:ascii="Century Gothic" w:hAnsi="Century Gothic"/>
        </w:rPr>
        <w:t xml:space="preserve"> to </w:t>
      </w:r>
      <w:r w:rsidRPr="00B26249">
        <w:rPr>
          <w:rFonts w:ascii="Century Gothic" w:hAnsi="Century Gothic"/>
          <w:b/>
        </w:rPr>
        <w:t>1</w:t>
      </w:r>
      <w:r w:rsidRPr="00B26249">
        <w:rPr>
          <w:rFonts w:ascii="Century Gothic" w:hAnsi="Century Gothic"/>
          <w:b/>
          <w:vertAlign w:val="superscript"/>
        </w:rPr>
        <w:t>st</w:t>
      </w:r>
      <w:r w:rsidRPr="00B26249">
        <w:rPr>
          <w:rFonts w:ascii="Century Gothic" w:hAnsi="Century Gothic"/>
          <w:b/>
        </w:rPr>
        <w:t xml:space="preserve"> April </w:t>
      </w:r>
      <w:r w:rsidRPr="00B26249">
        <w:rPr>
          <w:rFonts w:ascii="Century Gothic" w:hAnsi="Century Gothic"/>
          <w:b/>
        </w:rPr>
        <w:t>202</w:t>
      </w:r>
      <w:r w:rsidRPr="00B26249">
        <w:rPr>
          <w:rFonts w:ascii="Century Gothic" w:hAnsi="Century Gothic"/>
          <w:b/>
        </w:rPr>
        <w:t>5</w:t>
      </w:r>
      <w:r w:rsidRPr="00B26249">
        <w:rPr>
          <w:rFonts w:ascii="Century Gothic" w:hAnsi="Century Gothic"/>
          <w:b/>
        </w:rPr>
        <w:t xml:space="preserve"> at 10.00 a.m.</w:t>
      </w:r>
      <w:r w:rsidRPr="00B26249">
        <w:rPr>
          <w:rFonts w:ascii="Century Gothic" w:hAnsi="Century Gothic"/>
        </w:rPr>
        <w:t xml:space="preserve"> The procuring entity will open the bids through KPLC E-Procurement Web Portal at 10.30 a.m. at Stima Plaza.</w:t>
      </w:r>
    </w:p>
    <w:p w14:paraId="45A4C948" w14:textId="77777777" w:rsidR="002F317A" w:rsidRPr="00B26249" w:rsidRDefault="002F317A" w:rsidP="002F317A">
      <w:pPr>
        <w:jc w:val="both"/>
        <w:rPr>
          <w:rFonts w:ascii="Century Gothic" w:hAnsi="Century Gothic"/>
        </w:rPr>
      </w:pPr>
      <w:r w:rsidRPr="00B26249">
        <w:rPr>
          <w:rFonts w:ascii="Century Gothic" w:hAnsi="Century Gothic"/>
        </w:rPr>
        <w:lastRenderedPageBreak/>
        <w:t>All terms and conditions remain as per the Principal Tender Document (PDT)</w:t>
      </w:r>
    </w:p>
    <w:p w14:paraId="5DCAAE50" w14:textId="77777777" w:rsidR="00751124" w:rsidRPr="00B26249" w:rsidRDefault="00751124" w:rsidP="00751124">
      <w:pPr>
        <w:jc w:val="both"/>
        <w:rPr>
          <w:rFonts w:ascii="Century Gothic" w:hAnsi="Century Gothic"/>
        </w:rPr>
      </w:pPr>
    </w:p>
    <w:p w14:paraId="438E2720" w14:textId="77777777" w:rsidR="00751124" w:rsidRPr="00B26249" w:rsidRDefault="00751124" w:rsidP="00751124">
      <w:pPr>
        <w:jc w:val="both"/>
        <w:rPr>
          <w:rFonts w:ascii="Century Gothic" w:hAnsi="Century Gothic"/>
        </w:rPr>
      </w:pPr>
    </w:p>
    <w:p w14:paraId="3F7FDE53" w14:textId="77777777" w:rsidR="00FE61EE" w:rsidRPr="00B26249" w:rsidRDefault="00FE61EE" w:rsidP="009008AB">
      <w:pPr>
        <w:spacing w:line="360" w:lineRule="auto"/>
        <w:jc w:val="both"/>
        <w:rPr>
          <w:rFonts w:ascii="Century Gothic" w:hAnsi="Century Gothic"/>
          <w:color w:val="000000"/>
        </w:rPr>
      </w:pPr>
      <w:r w:rsidRPr="00B26249">
        <w:rPr>
          <w:rFonts w:ascii="Century Gothic" w:hAnsi="Century Gothic"/>
          <w:color w:val="000000"/>
        </w:rPr>
        <w:t>Yours Faithfully,</w:t>
      </w:r>
    </w:p>
    <w:p w14:paraId="2780FEFB" w14:textId="77777777" w:rsidR="00FE61EE" w:rsidRPr="00B26249" w:rsidRDefault="00E5415A" w:rsidP="009008AB">
      <w:pPr>
        <w:spacing w:line="360" w:lineRule="auto"/>
        <w:jc w:val="both"/>
        <w:rPr>
          <w:rFonts w:ascii="Century Gothic" w:hAnsi="Century Gothic"/>
          <w:b/>
          <w:color w:val="000000"/>
        </w:rPr>
      </w:pPr>
      <w:r w:rsidRPr="00B26249">
        <w:rPr>
          <w:rFonts w:ascii="Century Gothic" w:hAnsi="Century Gothic"/>
          <w:b/>
          <w:color w:val="000000"/>
        </w:rPr>
        <w:t>For: Kenya Power &amp; Lighting Co</w:t>
      </w:r>
      <w:r w:rsidR="003D2EE5" w:rsidRPr="00B26249">
        <w:rPr>
          <w:rFonts w:ascii="Century Gothic" w:hAnsi="Century Gothic"/>
          <w:b/>
          <w:color w:val="000000"/>
        </w:rPr>
        <w:t>mpany</w:t>
      </w:r>
      <w:r w:rsidRPr="00B26249">
        <w:rPr>
          <w:rFonts w:ascii="Century Gothic" w:hAnsi="Century Gothic"/>
          <w:b/>
          <w:color w:val="000000"/>
        </w:rPr>
        <w:t xml:space="preserve"> </w:t>
      </w:r>
      <w:r w:rsidR="003D2EE5" w:rsidRPr="00B26249">
        <w:rPr>
          <w:rFonts w:ascii="Century Gothic" w:hAnsi="Century Gothic"/>
          <w:b/>
          <w:color w:val="000000"/>
        </w:rPr>
        <w:t>Plc</w:t>
      </w:r>
    </w:p>
    <w:p w14:paraId="1AC29B15" w14:textId="77777777" w:rsidR="00044305" w:rsidRPr="00B26249" w:rsidRDefault="00044305" w:rsidP="009008AB">
      <w:pPr>
        <w:spacing w:line="360" w:lineRule="auto"/>
        <w:ind w:firstLine="101"/>
        <w:jc w:val="both"/>
        <w:rPr>
          <w:rFonts w:ascii="Century Gothic" w:hAnsi="Century Gothic"/>
          <w:color w:val="000000"/>
        </w:rPr>
      </w:pPr>
    </w:p>
    <w:p w14:paraId="36C43B70" w14:textId="77777777" w:rsidR="002F317A" w:rsidRPr="00B26249" w:rsidRDefault="002F317A" w:rsidP="009008AB">
      <w:pPr>
        <w:spacing w:line="360" w:lineRule="auto"/>
        <w:ind w:firstLine="101"/>
        <w:jc w:val="both"/>
        <w:rPr>
          <w:rFonts w:ascii="Century Gothic" w:hAnsi="Century Gothic"/>
          <w:color w:val="000000"/>
        </w:rPr>
      </w:pPr>
    </w:p>
    <w:p w14:paraId="2129041E" w14:textId="26D74049" w:rsidR="002F317A" w:rsidRPr="00B26249" w:rsidRDefault="00FC011D" w:rsidP="00C80645">
      <w:pPr>
        <w:spacing w:line="276" w:lineRule="auto"/>
        <w:jc w:val="both"/>
        <w:rPr>
          <w:rFonts w:ascii="Century Gothic" w:hAnsi="Century Gothic"/>
          <w:b/>
        </w:rPr>
      </w:pPr>
      <w:r w:rsidRPr="00B26249">
        <w:rPr>
          <w:rFonts w:ascii="Century Gothic" w:hAnsi="Century Gothic"/>
          <w:b/>
          <w:color w:val="000000"/>
        </w:rPr>
        <w:t xml:space="preserve">DR. JOHN NGENO, OGW </w:t>
      </w:r>
      <w:r w:rsidR="00A848C2" w:rsidRPr="00B26249">
        <w:rPr>
          <w:rFonts w:ascii="Century Gothic" w:hAnsi="Century Gothic"/>
          <w:b/>
          <w:color w:val="000000"/>
        </w:rPr>
        <w:t xml:space="preserve"> </w:t>
      </w:r>
      <w:r w:rsidR="001B6A9B" w:rsidRPr="00B26249">
        <w:rPr>
          <w:rFonts w:ascii="Century Gothic" w:hAnsi="Century Gothic"/>
          <w:b/>
          <w:color w:val="000000"/>
        </w:rPr>
        <w:t xml:space="preserve"> </w:t>
      </w:r>
      <w:r w:rsidR="00E70531" w:rsidRPr="00B26249">
        <w:rPr>
          <w:rFonts w:ascii="Century Gothic" w:hAnsi="Century Gothic"/>
          <w:b/>
          <w:color w:val="000000"/>
        </w:rPr>
        <w:t xml:space="preserve"> </w:t>
      </w:r>
    </w:p>
    <w:p w14:paraId="3D8FB0DD" w14:textId="4FC4D76F" w:rsidR="00881C35" w:rsidRPr="00B26249" w:rsidRDefault="00754C97" w:rsidP="00B630C6">
      <w:pPr>
        <w:spacing w:line="276" w:lineRule="auto"/>
        <w:jc w:val="both"/>
        <w:rPr>
          <w:rFonts w:ascii="Century Gothic" w:hAnsi="Century Gothic"/>
          <w:b/>
          <w:u w:val="single"/>
        </w:rPr>
      </w:pPr>
      <w:r w:rsidRPr="00B26249">
        <w:rPr>
          <w:rFonts w:ascii="Century Gothic" w:hAnsi="Century Gothic"/>
          <w:b/>
          <w:u w:val="single"/>
        </w:rPr>
        <w:t xml:space="preserve">GENERAL MANAGER, SUPPLY CHAIN &amp; LOGISTICS </w:t>
      </w:r>
      <w:r w:rsidR="003B2D93" w:rsidRPr="00B26249">
        <w:rPr>
          <w:rFonts w:ascii="Century Gothic" w:hAnsi="Century Gothic"/>
          <w:b/>
          <w:u w:val="single"/>
        </w:rPr>
        <w:t xml:space="preserve"> </w:t>
      </w:r>
    </w:p>
    <w:sectPr w:rsidR="00881C35" w:rsidRPr="00B26249" w:rsidSect="001A4EB6">
      <w:pgSz w:w="12240" w:h="15840"/>
      <w:pgMar w:top="1080" w:right="1325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13654"/>
    <w:multiLevelType w:val="multilevel"/>
    <w:tmpl w:val="9D2ABB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A009F"/>
    <w:multiLevelType w:val="hybridMultilevel"/>
    <w:tmpl w:val="DF3E0EBA"/>
    <w:lvl w:ilvl="0" w:tplc="0409001B">
      <w:start w:val="1"/>
      <w:numFmt w:val="low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36E239C"/>
    <w:multiLevelType w:val="hybridMultilevel"/>
    <w:tmpl w:val="16340E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65693"/>
    <w:multiLevelType w:val="hybridMultilevel"/>
    <w:tmpl w:val="9B1E77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738F1"/>
    <w:multiLevelType w:val="hybridMultilevel"/>
    <w:tmpl w:val="9B1E77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D5FE8"/>
    <w:multiLevelType w:val="hybridMultilevel"/>
    <w:tmpl w:val="1006300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361959"/>
    <w:multiLevelType w:val="hybridMultilevel"/>
    <w:tmpl w:val="33523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2109D"/>
    <w:multiLevelType w:val="hybridMultilevel"/>
    <w:tmpl w:val="00B2E31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F56AE9"/>
    <w:multiLevelType w:val="hybridMultilevel"/>
    <w:tmpl w:val="31C017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E632F"/>
    <w:multiLevelType w:val="hybridMultilevel"/>
    <w:tmpl w:val="335232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03599"/>
    <w:multiLevelType w:val="hybridMultilevel"/>
    <w:tmpl w:val="9684DB44"/>
    <w:lvl w:ilvl="0" w:tplc="E6E0B1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C4C61"/>
    <w:multiLevelType w:val="hybridMultilevel"/>
    <w:tmpl w:val="2ADA3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61E23"/>
    <w:multiLevelType w:val="hybridMultilevel"/>
    <w:tmpl w:val="DF3E0EBA"/>
    <w:lvl w:ilvl="0" w:tplc="0409001B">
      <w:start w:val="1"/>
      <w:numFmt w:val="low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55AA32BE"/>
    <w:multiLevelType w:val="hybridMultilevel"/>
    <w:tmpl w:val="DF3E0EBA"/>
    <w:lvl w:ilvl="0" w:tplc="0409001B">
      <w:start w:val="1"/>
      <w:numFmt w:val="low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602A65DE"/>
    <w:multiLevelType w:val="hybridMultilevel"/>
    <w:tmpl w:val="9D2ABB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E579BF"/>
    <w:multiLevelType w:val="hybridMultilevel"/>
    <w:tmpl w:val="CF5A424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0F3D5E"/>
    <w:multiLevelType w:val="hybridMultilevel"/>
    <w:tmpl w:val="1E82A4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C71DB"/>
    <w:multiLevelType w:val="hybridMultilevel"/>
    <w:tmpl w:val="33523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A67A0"/>
    <w:multiLevelType w:val="hybridMultilevel"/>
    <w:tmpl w:val="9B1E77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E61E98"/>
    <w:multiLevelType w:val="hybridMultilevel"/>
    <w:tmpl w:val="E2940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6031B"/>
    <w:multiLevelType w:val="hybridMultilevel"/>
    <w:tmpl w:val="9B1E77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77B83"/>
    <w:multiLevelType w:val="hybridMultilevel"/>
    <w:tmpl w:val="4E986B84"/>
    <w:lvl w:ilvl="0" w:tplc="FF46B604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893393249">
    <w:abstractNumId w:val="14"/>
  </w:num>
  <w:num w:numId="2" w16cid:durableId="722674309">
    <w:abstractNumId w:val="0"/>
  </w:num>
  <w:num w:numId="3" w16cid:durableId="380249255">
    <w:abstractNumId w:val="15"/>
  </w:num>
  <w:num w:numId="4" w16cid:durableId="1021014015">
    <w:abstractNumId w:val="21"/>
  </w:num>
  <w:num w:numId="5" w16cid:durableId="1845588820">
    <w:abstractNumId w:val="16"/>
  </w:num>
  <w:num w:numId="6" w16cid:durableId="1577594824">
    <w:abstractNumId w:val="19"/>
  </w:num>
  <w:num w:numId="7" w16cid:durableId="6364524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8009667">
    <w:abstractNumId w:val="7"/>
  </w:num>
  <w:num w:numId="9" w16cid:durableId="2070421192">
    <w:abstractNumId w:val="5"/>
  </w:num>
  <w:num w:numId="10" w16cid:durableId="2018995374">
    <w:abstractNumId w:val="2"/>
  </w:num>
  <w:num w:numId="11" w16cid:durableId="565847653">
    <w:abstractNumId w:val="10"/>
  </w:num>
  <w:num w:numId="12" w16cid:durableId="1015571691">
    <w:abstractNumId w:val="1"/>
  </w:num>
  <w:num w:numId="13" w16cid:durableId="1021201777">
    <w:abstractNumId w:val="12"/>
  </w:num>
  <w:num w:numId="14" w16cid:durableId="401025867">
    <w:abstractNumId w:val="13"/>
  </w:num>
  <w:num w:numId="15" w16cid:durableId="1471629643">
    <w:abstractNumId w:val="6"/>
  </w:num>
  <w:num w:numId="16" w16cid:durableId="585967941">
    <w:abstractNumId w:val="11"/>
  </w:num>
  <w:num w:numId="17" w16cid:durableId="1243219088">
    <w:abstractNumId w:val="17"/>
  </w:num>
  <w:num w:numId="18" w16cid:durableId="462387000">
    <w:abstractNumId w:val="3"/>
  </w:num>
  <w:num w:numId="19" w16cid:durableId="2113621611">
    <w:abstractNumId w:val="18"/>
  </w:num>
  <w:num w:numId="20" w16cid:durableId="177044847">
    <w:abstractNumId w:val="20"/>
  </w:num>
  <w:num w:numId="21" w16cid:durableId="1222015997">
    <w:abstractNumId w:val="4"/>
  </w:num>
  <w:num w:numId="22" w16cid:durableId="11265866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291"/>
    <w:rsid w:val="0001726C"/>
    <w:rsid w:val="00022B0E"/>
    <w:rsid w:val="00041AAB"/>
    <w:rsid w:val="00044305"/>
    <w:rsid w:val="00062799"/>
    <w:rsid w:val="00072CF1"/>
    <w:rsid w:val="00075600"/>
    <w:rsid w:val="00090C11"/>
    <w:rsid w:val="000977AE"/>
    <w:rsid w:val="000A1078"/>
    <w:rsid w:val="000A7BDD"/>
    <w:rsid w:val="000B34B7"/>
    <w:rsid w:val="000D41CC"/>
    <w:rsid w:val="001162A7"/>
    <w:rsid w:val="00122F3B"/>
    <w:rsid w:val="00124F79"/>
    <w:rsid w:val="0013770C"/>
    <w:rsid w:val="001455EF"/>
    <w:rsid w:val="001531B8"/>
    <w:rsid w:val="001565E8"/>
    <w:rsid w:val="0017283D"/>
    <w:rsid w:val="00185085"/>
    <w:rsid w:val="001914C2"/>
    <w:rsid w:val="001A4EB6"/>
    <w:rsid w:val="001A60B8"/>
    <w:rsid w:val="001A6562"/>
    <w:rsid w:val="001B0D74"/>
    <w:rsid w:val="001B6A9B"/>
    <w:rsid w:val="001D2B4C"/>
    <w:rsid w:val="001F6701"/>
    <w:rsid w:val="00246A14"/>
    <w:rsid w:val="002507F2"/>
    <w:rsid w:val="00272EEE"/>
    <w:rsid w:val="0027428A"/>
    <w:rsid w:val="00290910"/>
    <w:rsid w:val="00292042"/>
    <w:rsid w:val="002A4751"/>
    <w:rsid w:val="002A476E"/>
    <w:rsid w:val="002F11C2"/>
    <w:rsid w:val="002F317A"/>
    <w:rsid w:val="00302C56"/>
    <w:rsid w:val="00326DD5"/>
    <w:rsid w:val="00331222"/>
    <w:rsid w:val="00334FE9"/>
    <w:rsid w:val="00343853"/>
    <w:rsid w:val="00346151"/>
    <w:rsid w:val="003542BB"/>
    <w:rsid w:val="003569C8"/>
    <w:rsid w:val="003765E2"/>
    <w:rsid w:val="00383062"/>
    <w:rsid w:val="0038598C"/>
    <w:rsid w:val="00394699"/>
    <w:rsid w:val="003A6577"/>
    <w:rsid w:val="003B2D93"/>
    <w:rsid w:val="003D24E0"/>
    <w:rsid w:val="003D2EE5"/>
    <w:rsid w:val="003D5D20"/>
    <w:rsid w:val="00403101"/>
    <w:rsid w:val="00445D06"/>
    <w:rsid w:val="004479AF"/>
    <w:rsid w:val="00484E19"/>
    <w:rsid w:val="00492C5F"/>
    <w:rsid w:val="00495079"/>
    <w:rsid w:val="00522A1F"/>
    <w:rsid w:val="00536783"/>
    <w:rsid w:val="005A2DBE"/>
    <w:rsid w:val="005B68C5"/>
    <w:rsid w:val="005C52D8"/>
    <w:rsid w:val="005E64D1"/>
    <w:rsid w:val="005F38D5"/>
    <w:rsid w:val="00624FA0"/>
    <w:rsid w:val="00632852"/>
    <w:rsid w:val="006512B0"/>
    <w:rsid w:val="00656291"/>
    <w:rsid w:val="00680709"/>
    <w:rsid w:val="00683650"/>
    <w:rsid w:val="00683E5E"/>
    <w:rsid w:val="006A6684"/>
    <w:rsid w:val="006C0694"/>
    <w:rsid w:val="006D1F00"/>
    <w:rsid w:val="006D6B26"/>
    <w:rsid w:val="006E156A"/>
    <w:rsid w:val="00704386"/>
    <w:rsid w:val="00725560"/>
    <w:rsid w:val="00737C22"/>
    <w:rsid w:val="00751124"/>
    <w:rsid w:val="00754C97"/>
    <w:rsid w:val="00761ED2"/>
    <w:rsid w:val="007903C5"/>
    <w:rsid w:val="00792C6C"/>
    <w:rsid w:val="007B437D"/>
    <w:rsid w:val="007C3960"/>
    <w:rsid w:val="007D29A1"/>
    <w:rsid w:val="007D2A48"/>
    <w:rsid w:val="007D6319"/>
    <w:rsid w:val="007E70CC"/>
    <w:rsid w:val="007F55D4"/>
    <w:rsid w:val="00840E03"/>
    <w:rsid w:val="00856C99"/>
    <w:rsid w:val="00877171"/>
    <w:rsid w:val="00880FBB"/>
    <w:rsid w:val="00881C35"/>
    <w:rsid w:val="008B3E0A"/>
    <w:rsid w:val="008D04A9"/>
    <w:rsid w:val="008D54FD"/>
    <w:rsid w:val="008F2872"/>
    <w:rsid w:val="008F4CA7"/>
    <w:rsid w:val="009008AB"/>
    <w:rsid w:val="0091669C"/>
    <w:rsid w:val="009832E1"/>
    <w:rsid w:val="00985D83"/>
    <w:rsid w:val="009A066F"/>
    <w:rsid w:val="009B0EE8"/>
    <w:rsid w:val="009C2F3E"/>
    <w:rsid w:val="009D2E32"/>
    <w:rsid w:val="00A05FE2"/>
    <w:rsid w:val="00A07E48"/>
    <w:rsid w:val="00A12B6E"/>
    <w:rsid w:val="00A20698"/>
    <w:rsid w:val="00A213BD"/>
    <w:rsid w:val="00A27BAE"/>
    <w:rsid w:val="00A31C42"/>
    <w:rsid w:val="00A326C6"/>
    <w:rsid w:val="00A65449"/>
    <w:rsid w:val="00A742F1"/>
    <w:rsid w:val="00A826C8"/>
    <w:rsid w:val="00A827C5"/>
    <w:rsid w:val="00A848C2"/>
    <w:rsid w:val="00AA3011"/>
    <w:rsid w:val="00AC1112"/>
    <w:rsid w:val="00AD0A8D"/>
    <w:rsid w:val="00AD62A0"/>
    <w:rsid w:val="00AE100A"/>
    <w:rsid w:val="00AF367B"/>
    <w:rsid w:val="00B005F5"/>
    <w:rsid w:val="00B26249"/>
    <w:rsid w:val="00B43CC0"/>
    <w:rsid w:val="00B56F77"/>
    <w:rsid w:val="00B62CA2"/>
    <w:rsid w:val="00B630C6"/>
    <w:rsid w:val="00B6495D"/>
    <w:rsid w:val="00B66EA3"/>
    <w:rsid w:val="00B70547"/>
    <w:rsid w:val="00B70D49"/>
    <w:rsid w:val="00B76202"/>
    <w:rsid w:val="00B924E2"/>
    <w:rsid w:val="00BA08F7"/>
    <w:rsid w:val="00BA4C77"/>
    <w:rsid w:val="00BD44DF"/>
    <w:rsid w:val="00BD5358"/>
    <w:rsid w:val="00BE0946"/>
    <w:rsid w:val="00BF73D1"/>
    <w:rsid w:val="00C140F7"/>
    <w:rsid w:val="00C239DD"/>
    <w:rsid w:val="00C34228"/>
    <w:rsid w:val="00C50481"/>
    <w:rsid w:val="00C63328"/>
    <w:rsid w:val="00C669D7"/>
    <w:rsid w:val="00C669EC"/>
    <w:rsid w:val="00C76AA9"/>
    <w:rsid w:val="00C80645"/>
    <w:rsid w:val="00C85349"/>
    <w:rsid w:val="00C91570"/>
    <w:rsid w:val="00C950A4"/>
    <w:rsid w:val="00CA5D74"/>
    <w:rsid w:val="00CB06B7"/>
    <w:rsid w:val="00D056EC"/>
    <w:rsid w:val="00D05FCB"/>
    <w:rsid w:val="00D23D00"/>
    <w:rsid w:val="00D27937"/>
    <w:rsid w:val="00D33339"/>
    <w:rsid w:val="00D34483"/>
    <w:rsid w:val="00D41410"/>
    <w:rsid w:val="00D4502F"/>
    <w:rsid w:val="00D56452"/>
    <w:rsid w:val="00D57D09"/>
    <w:rsid w:val="00D60EDD"/>
    <w:rsid w:val="00D74CBF"/>
    <w:rsid w:val="00DB0CEC"/>
    <w:rsid w:val="00DC4CAF"/>
    <w:rsid w:val="00DC641A"/>
    <w:rsid w:val="00DD13C5"/>
    <w:rsid w:val="00DD4580"/>
    <w:rsid w:val="00DD52FE"/>
    <w:rsid w:val="00DF4AFA"/>
    <w:rsid w:val="00DF6811"/>
    <w:rsid w:val="00E20AF3"/>
    <w:rsid w:val="00E20E66"/>
    <w:rsid w:val="00E258BE"/>
    <w:rsid w:val="00E5415A"/>
    <w:rsid w:val="00E65478"/>
    <w:rsid w:val="00E70531"/>
    <w:rsid w:val="00E81085"/>
    <w:rsid w:val="00E85CB3"/>
    <w:rsid w:val="00E95398"/>
    <w:rsid w:val="00EA489E"/>
    <w:rsid w:val="00EB12FC"/>
    <w:rsid w:val="00EB592B"/>
    <w:rsid w:val="00EB62F7"/>
    <w:rsid w:val="00EB6DC7"/>
    <w:rsid w:val="00EC1016"/>
    <w:rsid w:val="00EC7031"/>
    <w:rsid w:val="00ED4EE9"/>
    <w:rsid w:val="00EE2A37"/>
    <w:rsid w:val="00EE6DF1"/>
    <w:rsid w:val="00EE71A2"/>
    <w:rsid w:val="00EF76C0"/>
    <w:rsid w:val="00F055CC"/>
    <w:rsid w:val="00F3177D"/>
    <w:rsid w:val="00F40E04"/>
    <w:rsid w:val="00F43879"/>
    <w:rsid w:val="00F50683"/>
    <w:rsid w:val="00F51171"/>
    <w:rsid w:val="00F74E0F"/>
    <w:rsid w:val="00F80B8F"/>
    <w:rsid w:val="00FC011D"/>
    <w:rsid w:val="00FD7802"/>
    <w:rsid w:val="00FE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415D3F"/>
  <w15:chartTrackingRefBased/>
  <w15:docId w15:val="{3A381575-952B-4DF2-9D01-DC4A805F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1C35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056EC"/>
    <w:pPr>
      <w:suppressAutoHyphens/>
      <w:jc w:val="center"/>
      <w:outlineLvl w:val="2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333333"/>
    </w:rPr>
  </w:style>
  <w:style w:type="paragraph" w:styleId="BalloonText">
    <w:name w:val="Balloon Text"/>
    <w:basedOn w:val="Normal"/>
    <w:link w:val="BalloonTextChar"/>
    <w:rsid w:val="00246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46A14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D056EC"/>
    <w:rPr>
      <w:b/>
      <w:sz w:val="28"/>
      <w:lang w:val="en-US" w:eastAsia="en-US"/>
    </w:rPr>
  </w:style>
  <w:style w:type="character" w:styleId="Hyperlink">
    <w:name w:val="Hyperlink"/>
    <w:unhideWhenUsed/>
    <w:rsid w:val="00D056EC"/>
    <w:rPr>
      <w:color w:val="0000FF"/>
      <w:u w:val="single"/>
    </w:rPr>
  </w:style>
  <w:style w:type="table" w:styleId="TableGrid">
    <w:name w:val="Table Grid"/>
    <w:basedOn w:val="TableNormal"/>
    <w:uiPriority w:val="39"/>
    <w:rsid w:val="00DC4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Citation List,본문(내용),List Paragraph (numbered (a)),List Item,Bullets,List Bullet Mary,Akapit z listą BS,List Paragraph 1,List_Paragraph,Multilevel para_II,List Paragraph1,Numbered List Paragraph,Normal 2,Referenc,Colorful List - Accent 11"/>
    <w:basedOn w:val="Normal"/>
    <w:link w:val="ListParagraphChar"/>
    <w:uiPriority w:val="1"/>
    <w:qFormat/>
    <w:rsid w:val="00124F79"/>
    <w:pPr>
      <w:ind w:left="720"/>
      <w:contextualSpacing/>
    </w:pPr>
  </w:style>
  <w:style w:type="character" w:customStyle="1" w:styleId="ListParagraphChar">
    <w:name w:val="List Paragraph Char"/>
    <w:aliases w:val="Citation List Char,본문(내용) Char,List Paragraph (numbered (a)) Char,List Item Char,Bullets Char,List Bullet Mary Char,Akapit z listą BS Char,List Paragraph 1 Char,List_Paragraph Char,Multilevel para_II Char,List Paragraph1 Char"/>
    <w:link w:val="ListParagraph"/>
    <w:uiPriority w:val="1"/>
    <w:rsid w:val="00A742F1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EC101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C10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@sapphirelogisticcs.co.k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enyapower.co.k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8BA5F-19FA-4701-A5E5-25F6FE608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KPLC</Company>
  <LinksUpToDate>false</LinksUpToDate>
  <CharactersWithSpaces>1743</CharactersWithSpaces>
  <SharedDoc>false</SharedDoc>
  <HLinks>
    <vt:vector size="6" baseType="variant">
      <vt:variant>
        <vt:i4>4194321</vt:i4>
      </vt:variant>
      <vt:variant>
        <vt:i4>0</vt:i4>
      </vt:variant>
      <vt:variant>
        <vt:i4>0</vt:i4>
      </vt:variant>
      <vt:variant>
        <vt:i4>5</vt:i4>
      </vt:variant>
      <vt:variant>
        <vt:lpwstr>http://www.kenyapower.co.ke/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subject/>
  <dc:creator>pc user</dc:creator>
  <cp:keywords/>
  <cp:lastModifiedBy>Esther Waithira Waitara</cp:lastModifiedBy>
  <cp:revision>11</cp:revision>
  <cp:lastPrinted>2025-03-17T09:28:00Z</cp:lastPrinted>
  <dcterms:created xsi:type="dcterms:W3CDTF">2025-03-17T08:47:00Z</dcterms:created>
  <dcterms:modified xsi:type="dcterms:W3CDTF">2025-03-17T09:42:00Z</dcterms:modified>
</cp:coreProperties>
</file>